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DE2AF">
      <w:pPr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医用耗材明细</w:t>
      </w:r>
    </w:p>
    <w:tbl>
      <w:tblPr>
        <w:tblStyle w:val="6"/>
        <w:tblW w:w="86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558"/>
      </w:tblGrid>
      <w:tr w14:paraId="0A36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2705B39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33CD1A27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名称</w:t>
            </w:r>
          </w:p>
        </w:tc>
        <w:tc>
          <w:tcPr>
            <w:tcW w:w="5558" w:type="dxa"/>
            <w:vAlign w:val="center"/>
          </w:tcPr>
          <w:p w14:paraId="101EB807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功能需求</w:t>
            </w:r>
          </w:p>
        </w:tc>
      </w:tr>
      <w:tr w14:paraId="1D5D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186" w:type="dxa"/>
            <w:shd w:val="clear" w:color="auto" w:fill="auto"/>
            <w:vAlign w:val="center"/>
          </w:tcPr>
          <w:p w14:paraId="25692998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XB012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5FCF85D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贴片式心电传感器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5D04B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1.基础卫生材料，光电及辅助材料，传感器及辅助材料，医保通用名分类贴片类，国家医保局医用耗材编码前15位包含但不限于C14070318300000，同一采购品种需包含临床常用的所有规格型号。</w:t>
            </w:r>
          </w:p>
          <w:p w14:paraId="118A9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2.产品可无创测量人体心电信号，拟用于远程实时监测患者的心率，对于心动过速/过缓、长RR间期、房颤等有预警功能，并能兼容起搏器，可满足7*24小时不间断监测。</w:t>
            </w:r>
          </w:p>
          <w:p w14:paraId="5D2BE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3.产品规格十二导联。</w:t>
            </w:r>
          </w:p>
          <w:p w14:paraId="2F97F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4.产品具有防水功能，佩戴期间可正常运动、洗澡。</w:t>
            </w:r>
          </w:p>
          <w:p w14:paraId="5A228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5.产品需有单独收费项目，在河北省药品和医用耗材招采管理系统目录中，具有唯一标识UDI码。</w:t>
            </w:r>
          </w:p>
        </w:tc>
      </w:tr>
      <w:tr w14:paraId="610DF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186" w:type="dxa"/>
            <w:shd w:val="clear" w:color="auto" w:fill="auto"/>
            <w:vAlign w:val="center"/>
          </w:tcPr>
          <w:p w14:paraId="0D640896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XB013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EFA53D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持续葡萄糖监测系统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44DC5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</w:rPr>
              <w:t>监测范围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</w:rPr>
              <w:t>mmol/L-25.0mmol/L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eastAsia="zh-CN"/>
              </w:rPr>
              <w:t>；</w:t>
            </w:r>
          </w:p>
          <w:p w14:paraId="3C0BC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</w:rPr>
              <w:t>平均相对误差绝对值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MARD%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</w:rPr>
              <w:t>：≤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8.9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</w:rPr>
              <w:t>%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eastAsia="zh-CN"/>
              </w:rPr>
              <w:t>；</w:t>
            </w:r>
          </w:p>
          <w:p w14:paraId="5536E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具有高低值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报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警功能；支持葡萄糖水平低于或高于预设提醒阈值，可发出提醒；</w:t>
            </w:r>
          </w:p>
          <w:p w14:paraId="00F15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进液防护等级：发射器和传感器配合使用时可达IP28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 w14:paraId="4B7E3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探针硬度：软针；</w:t>
            </w:r>
          </w:p>
          <w:p w14:paraId="0E3DE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使用寿命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7-15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天；出值频率：3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-5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分钟，24小时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可以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记录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不低于288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个血糖值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 w14:paraId="6661C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无需指血校准；</w:t>
            </w:r>
          </w:p>
          <w:p w14:paraId="1956D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支持动态血糖统计分析，输出动态血糖患者的持续葡萄糖评估报告、AGP报告、指南版报告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 w14:paraId="79EFC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</w:rPr>
              <w:t>配套软件系统具备软件医疗器械注册证、信息系统安全等级保护备案证明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  <w:p w14:paraId="26CD10E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产品需在河北省药品和医用耗材招采管理系统目录中。</w:t>
            </w:r>
          </w:p>
        </w:tc>
      </w:tr>
      <w:tr w14:paraId="41205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186" w:type="dxa"/>
            <w:shd w:val="clear" w:color="auto" w:fill="auto"/>
            <w:vAlign w:val="center"/>
          </w:tcPr>
          <w:p w14:paraId="42AF5F78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XB014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776277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血酮试纸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35F16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1.产品采用无创末梢血检测，主要用于快速筛查人体酮体水平，预警高酮血症、酮症酸中毒等异常状况，为临床诊断提供精准数据支撑；</w:t>
            </w:r>
          </w:p>
          <w:p w14:paraId="7F45D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2.支持超广HCT检测范围10%-70%，适配全院各类患者；</w:t>
            </w:r>
          </w:p>
          <w:p w14:paraId="1C013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3.检测准确度误差≤±15%；</w:t>
            </w:r>
          </w:p>
          <w:p w14:paraId="639B1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4.采用银碳十六电极，灵敏度高、稳定性好；</w:t>
            </w:r>
          </w:p>
          <w:p w14:paraId="1C4F5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5.带镭射Code溯源码，可自动匹配校正曲线；</w:t>
            </w:r>
          </w:p>
          <w:p w14:paraId="79691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u w:val="none"/>
                <w:lang w:val="en-US" w:eastAsia="zh-CN"/>
              </w:rPr>
              <w:t>6.支持智能免调码、即插即测，6秒快速出结果，具备防水防泼溅、防潮防氧化性能。</w:t>
            </w:r>
          </w:p>
        </w:tc>
      </w:tr>
      <w:tr w14:paraId="6CFE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1186" w:type="dxa"/>
            <w:shd w:val="clear" w:color="auto" w:fill="auto"/>
            <w:vAlign w:val="center"/>
          </w:tcPr>
          <w:p w14:paraId="1D7E5697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XB015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CA6D5A8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胎儿纤维连接蛋白检测试剂盒（胶体金法）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12923C9B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1.预期用途：用于体外定性检测孕妇阴道分泌物中胎儿纤维连接蛋白（fFN）。</w:t>
            </w:r>
          </w:p>
          <w:p w14:paraId="68A161D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2.≥1.0mg/ml抗人fFN的检测线</w:t>
            </w:r>
          </w:p>
          <w:p w14:paraId="566B30F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3.检测卡的最低检测限应不高于50ng/ml</w:t>
            </w:r>
          </w:p>
        </w:tc>
      </w:tr>
      <w:tr w14:paraId="6154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186" w:type="dxa"/>
            <w:shd w:val="clear" w:color="auto" w:fill="auto"/>
            <w:vAlign w:val="center"/>
          </w:tcPr>
          <w:p w14:paraId="2958289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XB016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9566081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胰岛素样生长因子结合蛋白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1检测试剂盒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（胶体金法）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6393FEBD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1.预期用途：用于体外定量测定人血清中胰岛素样生长因子结合蛋白3（IGFBP-3）的含量。</w:t>
            </w:r>
          </w:p>
          <w:p w14:paraId="5D8AA886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2.批内精密度≤8%</w:t>
            </w:r>
          </w:p>
          <w:p w14:paraId="70FD5180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3.批间精密度≤15%</w:t>
            </w:r>
          </w:p>
          <w:p w14:paraId="31CCDD48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4.空白限≤0.050 μg/mL</w:t>
            </w:r>
          </w:p>
        </w:tc>
      </w:tr>
      <w:tr w14:paraId="03394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186" w:type="dxa"/>
            <w:shd w:val="clear" w:color="auto" w:fill="auto"/>
            <w:vAlign w:val="center"/>
          </w:tcPr>
          <w:p w14:paraId="1B59D0B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XB017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ABB68D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甲型肝炎病毒IgM抗体检测试剂盒（化学发光免疫分析法）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5B64141A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需适配深圳新产业全自动化学发光免疫分析仪。</w:t>
            </w:r>
          </w:p>
          <w:p w14:paraId="6CF0291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 w:line="320" w:lineRule="exact"/>
              <w:ind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2.预期用途：本产品用于定性检测人血清或血浆中的甲型肝炎病毒 IgM 抗体。</w:t>
            </w:r>
          </w:p>
          <w:p w14:paraId="716F6CB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3.有效期：≥12个月</w:t>
            </w:r>
          </w:p>
          <w:p w14:paraId="2FA7CCC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4.精密度：CV&lt;10%</w:t>
            </w:r>
          </w:p>
        </w:tc>
      </w:tr>
      <w:tr w14:paraId="518DE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186" w:type="dxa"/>
            <w:shd w:val="clear" w:color="auto" w:fill="auto"/>
            <w:vAlign w:val="center"/>
          </w:tcPr>
          <w:p w14:paraId="7DC0727B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XB018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D9EE5EA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戊肝肝炎病毒IgM抗体检测试剂盒（磁微粒化学发光法）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634BB1B1"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需适配深圳新产业全自动化学发光免疫分析仪。</w:t>
            </w:r>
          </w:p>
          <w:p w14:paraId="7D2A7C0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 w:line="320" w:lineRule="exact"/>
              <w:ind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2.预期用途：本产品用于定性检测人血清或血浆中的戊型肝炎病毒IgM抗体(HEV IgM)</w:t>
            </w:r>
          </w:p>
          <w:p w14:paraId="731B1F77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3.有效期：≥12个月</w:t>
            </w:r>
          </w:p>
          <w:p w14:paraId="420F029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4.精密度：CV&lt;10%</w:t>
            </w:r>
          </w:p>
        </w:tc>
      </w:tr>
    </w:tbl>
    <w:p w14:paraId="657EC24F">
      <w:pPr>
        <w:keepNext w:val="0"/>
        <w:keepLines w:val="0"/>
        <w:suppressLineNumbers w:val="0"/>
        <w:spacing w:beforeAutospacing="0" w:afterAutospacing="0" w:line="320" w:lineRule="exact"/>
        <w:ind w:left="0" w:leftChars="0" w:right="0" w:rightChars="0"/>
        <w:jc w:val="center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bookmarkStart w:id="0" w:name="_GoBack"/>
      <w:bookmarkEnd w:id="0"/>
    </w:p>
    <w:p w14:paraId="6DC3270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248FC"/>
    <w:multiLevelType w:val="singleLevel"/>
    <w:tmpl w:val="DFA248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AA4F5C5"/>
    <w:multiLevelType w:val="singleLevel"/>
    <w:tmpl w:val="5AA4F5C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65355"/>
    <w:rsid w:val="128550C5"/>
    <w:rsid w:val="17312619"/>
    <w:rsid w:val="252C7486"/>
    <w:rsid w:val="2A837A46"/>
    <w:rsid w:val="2B854B8F"/>
    <w:rsid w:val="2CF53363"/>
    <w:rsid w:val="30E3452C"/>
    <w:rsid w:val="427159DF"/>
    <w:rsid w:val="4867135F"/>
    <w:rsid w:val="4EBC139F"/>
    <w:rsid w:val="512B075A"/>
    <w:rsid w:val="55F002A2"/>
    <w:rsid w:val="56CC1987"/>
    <w:rsid w:val="674020D8"/>
    <w:rsid w:val="68D91796"/>
    <w:rsid w:val="6B7272CB"/>
    <w:rsid w:val="6BB2129D"/>
    <w:rsid w:val="6DAA1E5D"/>
    <w:rsid w:val="6F4C4FDB"/>
    <w:rsid w:val="71F94271"/>
    <w:rsid w:val="7AD4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180"/>
      </w:tabs>
      <w:spacing w:line="500" w:lineRule="exact"/>
    </w:pPr>
    <w:rPr>
      <w:rFonts w:ascii="Times New Roman" w:hAnsi="Times New Roman" w:eastAsia="宋体" w:cs="Times New Roman"/>
      <w:sz w:val="32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Quote"/>
    <w:basedOn w:val="1"/>
    <w:next w:val="1"/>
    <w:qFormat/>
    <w:uiPriority w:val="0"/>
    <w:pPr>
      <w:widowControl/>
      <w:wordWrap w:val="0"/>
      <w:spacing w:before="200" w:after="160"/>
      <w:ind w:left="864" w:right="864"/>
      <w:jc w:val="center"/>
    </w:pPr>
    <w:rPr>
      <w:rFonts w:ascii="宋体" w:hAnsi="Times New Roman" w:eastAsia="宋体" w:cs="Times New Roman"/>
      <w:i/>
      <w:color w:val="404040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860</Words>
  <Characters>1041</Characters>
  <Lines>0</Lines>
  <Paragraphs>0</Paragraphs>
  <TotalTime>0</TotalTime>
  <ScaleCrop>false</ScaleCrop>
  <LinksUpToDate>false</LinksUpToDate>
  <CharactersWithSpaces>1045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2026-06-05T09:56:00Z</dcterms:created>
  <dc:creator>Administrator</dc:creator>
  <cp:lastModifiedBy>相信所以等待</cp:lastModifiedBy>
  <dcterms:modified xsi:type="dcterms:W3CDTF">2026-07-28T02:35:04Z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eyJoZGlkIjoiMjk0MTU2MzIyZGY3ZTZjNDRmMTNmMzEyN2ZlYWUwMmEiLCJ1c2VySWQiOiI0NTI4NDA4NTMifQ==</vt:lpwstr>
  </property>
  <property fmtid="{D5CDD505-2E9C-101B-9397-08002B2CF9AE}" pid="4" name="ICV">
    <vt:lpwstr>068034905B894CC883E9F74800F474C2_12</vt:lpwstr>
  </property>
</Properties>
</file>